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EC" w:rsidRDefault="00DA4AFB">
      <w:pPr>
        <w:spacing w:before="111" w:after="111" w:line="240" w:lineRule="exact"/>
        <w:rPr>
          <w:sz w:val="19"/>
          <w:szCs w:val="19"/>
        </w:rPr>
      </w:pPr>
    </w:p>
    <w:p w:rsidR="002323EC" w:rsidRDefault="00DA4AFB">
      <w:pPr>
        <w:rPr>
          <w:sz w:val="2"/>
          <w:szCs w:val="2"/>
        </w:rPr>
        <w:sectPr w:rsidR="002323EC">
          <w:pgSz w:w="11900" w:h="16840"/>
          <w:pgMar w:top="727" w:right="0" w:bottom="1146" w:left="0" w:header="0" w:footer="3" w:gutter="0"/>
          <w:cols w:space="720"/>
          <w:noEndnote/>
          <w:docGrid w:linePitch="360"/>
        </w:sectPr>
      </w:pPr>
    </w:p>
    <w:p w:rsidR="002323EC" w:rsidRDefault="00DA4AFB">
      <w:pPr>
        <w:pStyle w:val="10"/>
        <w:keepNext/>
        <w:keepLines/>
        <w:shd w:val="clear" w:color="auto" w:fill="auto"/>
        <w:spacing w:after="642"/>
        <w:ind w:left="460" w:firstLine="0"/>
      </w:pPr>
      <w:bookmarkStart w:id="0" w:name="bookmark0"/>
      <w:r>
        <w:rPr>
          <w:lang w:val="kk-KZ"/>
        </w:rPr>
        <w:t>«Еуразиялық банк» АҚ жеке тұлғалар  төлем карточкаларының ұстаушылары үшін «Бейілділік» акциясын өткізу  талаптары</w:t>
      </w:r>
      <w:bookmarkEnd w:id="0"/>
    </w:p>
    <w:p w:rsidR="002323EC" w:rsidRDefault="00DA4AFB">
      <w:pPr>
        <w:pStyle w:val="10"/>
        <w:keepNext/>
        <w:keepLines/>
        <w:shd w:val="clear" w:color="auto" w:fill="auto"/>
        <w:spacing w:after="232" w:line="240" w:lineRule="exact"/>
        <w:ind w:firstLine="0"/>
      </w:pPr>
      <w:bookmarkStart w:id="1" w:name="bookmark1"/>
      <w:r>
        <w:rPr>
          <w:lang w:val="kk-KZ"/>
        </w:rPr>
        <w:t>1. Негізгі  ережелер</w:t>
      </w:r>
      <w:bookmarkEnd w:id="1"/>
    </w:p>
    <w:p w:rsidR="002323EC" w:rsidRDefault="00DA4AFB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firstLine="0"/>
      </w:pPr>
      <w:r>
        <w:rPr>
          <w:lang w:val="kk-KZ"/>
        </w:rPr>
        <w:t xml:space="preserve">Осы  Талаптар  «Еуразиялық банк» АҚ жеке тұлғалар  төлем карточкаларының ұстаушылары үшін </w:t>
      </w:r>
      <w:r>
        <w:rPr>
          <w:lang w:val="kk-KZ"/>
        </w:rPr>
        <w:t>«Бейілділік» акциясын өткізу  талаптарының  (бұдан әрі - Талаптар) тәртібін және Акцияны жүргізу мерзімін анықтайды.</w:t>
      </w:r>
    </w:p>
    <w:p w:rsidR="002323EC" w:rsidRDefault="00DA4AFB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firstLine="0"/>
      </w:pPr>
      <w:r>
        <w:rPr>
          <w:lang w:val="kk-KZ"/>
        </w:rPr>
        <w:t>Акция  «Еуразиялық  банк» АҚ-та  (бұдан әрі  — Банк) жүргізіледі.</w:t>
      </w:r>
    </w:p>
    <w:p w:rsidR="002323EC" w:rsidRPr="00DA4AFB" w:rsidRDefault="00DA4AFB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firstLine="0"/>
        <w:rPr>
          <w:lang w:val="kk-KZ"/>
        </w:rPr>
      </w:pPr>
      <w:r>
        <w:rPr>
          <w:lang w:val="kk-KZ"/>
        </w:rPr>
        <w:t xml:space="preserve"> Акцияның іске қосылуы, тоқтатылуы және талаптарының өзгертілуі туралы ше</w:t>
      </w:r>
      <w:r>
        <w:rPr>
          <w:lang w:val="kk-KZ"/>
        </w:rPr>
        <w:t>шімді  Банктің Уәкілетті органы қабылдайды.</w:t>
      </w:r>
    </w:p>
    <w:p w:rsidR="002323EC" w:rsidRPr="00DA4AFB" w:rsidRDefault="00DA4AFB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firstLine="0"/>
        <w:rPr>
          <w:lang w:val="kk-KZ"/>
        </w:rPr>
      </w:pPr>
      <w:r>
        <w:rPr>
          <w:lang w:val="kk-KZ"/>
        </w:rPr>
        <w:t xml:space="preserve"> Акцияны өткізу кезеңі:  егер банктің Уәкілетті органы  Акцияны  тоқтату  туралы шешім қабылдамаса, жыл сайын келесі күнтізбелік жылға автоматты түрде мерзімін ұзартумен қоса санағанда  2019 жылғы «01» қыркүйекте</w:t>
      </w:r>
      <w:r>
        <w:rPr>
          <w:lang w:val="kk-KZ"/>
        </w:rPr>
        <w:t xml:space="preserve">н бастап  2019 жылғы «31»желтоқсанға дейін. </w:t>
      </w:r>
    </w:p>
    <w:p w:rsidR="002323EC" w:rsidRDefault="00DA4AFB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39"/>
        <w:ind w:firstLine="0"/>
      </w:pPr>
      <w:r>
        <w:rPr>
          <w:lang w:val="kk-KZ"/>
        </w:rPr>
        <w:t xml:space="preserve"> Осы Талаптарда  пайдаланылатын жалпы түсініктер.</w:t>
      </w:r>
    </w:p>
    <w:p w:rsidR="002323EC" w:rsidRDefault="00DA4AFB">
      <w:pPr>
        <w:pStyle w:val="20"/>
        <w:shd w:val="clear" w:color="auto" w:fill="auto"/>
        <w:spacing w:before="0" w:after="240" w:line="274" w:lineRule="exact"/>
        <w:ind w:firstLine="0"/>
      </w:pPr>
      <w:r>
        <w:rPr>
          <w:rStyle w:val="21"/>
          <w:lang w:val="kk-KZ"/>
        </w:rPr>
        <w:t xml:space="preserve">Акция </w:t>
      </w:r>
      <w:r>
        <w:rPr>
          <w:lang w:val="kk-KZ"/>
        </w:rPr>
        <w:t>—  Банктің клиенттерінің бейілділігін сақтауға, сондай-ақ «Еуразиялық банк» АҚ шығарған төлем карточкаларын пайдаланумен қолма-қол ақшасыз операцияларды ын</w:t>
      </w:r>
      <w:r>
        <w:rPr>
          <w:lang w:val="kk-KZ"/>
        </w:rPr>
        <w:t xml:space="preserve">таландыруға, депозиттік базаны арттыруға, кредиттерді және жаңа төлем карточкаларын ашуға бағытталған науқан. </w:t>
      </w:r>
    </w:p>
    <w:p w:rsidR="002323EC" w:rsidRPr="00DA4AFB" w:rsidRDefault="00DA4AFB">
      <w:pPr>
        <w:pStyle w:val="20"/>
        <w:shd w:val="clear" w:color="auto" w:fill="auto"/>
        <w:spacing w:before="0" w:after="236" w:line="274" w:lineRule="exact"/>
        <w:ind w:firstLine="0"/>
        <w:rPr>
          <w:lang w:val="kk-KZ"/>
        </w:rPr>
      </w:pPr>
      <w:r>
        <w:rPr>
          <w:rStyle w:val="21"/>
          <w:lang w:val="kk-KZ"/>
        </w:rPr>
        <w:t xml:space="preserve">Бонус </w:t>
      </w:r>
      <w:r>
        <w:rPr>
          <w:lang w:val="kk-KZ"/>
        </w:rPr>
        <w:t>— Акция қатысушысы осы Талаптардың талаптарына сәйкес келетін, осы Талаптардың  талаптарын қанағаттандыратын  белсенділік танытқан кезде Ба</w:t>
      </w:r>
      <w:r>
        <w:rPr>
          <w:lang w:val="kk-KZ"/>
        </w:rPr>
        <w:t>нктің өзіндік қаражаты есебінен Акция қатысушысына берілетін шартты бірлік.   Бонустар Акция Қатысушысының арнайы Бонустық шотында жиналады.  Бонус мөлшерін Банктің Уәкілетті тұлғасы Банктің Уәкілетті органы бекіткен бонустар мөлшерлемесінің шекті мөлшерле</w:t>
      </w:r>
      <w:r>
        <w:rPr>
          <w:lang w:val="kk-KZ"/>
        </w:rPr>
        <w:t>рінің есебімен белгілейді.</w:t>
      </w:r>
    </w:p>
    <w:p w:rsidR="002323EC" w:rsidRPr="00DA4AFB" w:rsidRDefault="00DA4AFB">
      <w:pPr>
        <w:pStyle w:val="20"/>
        <w:shd w:val="clear" w:color="auto" w:fill="auto"/>
        <w:spacing w:before="0" w:after="240" w:line="278" w:lineRule="exact"/>
        <w:ind w:firstLine="0"/>
        <w:rPr>
          <w:lang w:val="kk-KZ"/>
        </w:rPr>
      </w:pPr>
      <w:r>
        <w:rPr>
          <w:lang w:val="kk-KZ"/>
        </w:rPr>
        <w:t xml:space="preserve">POS-терминалдарды және E-Com пайдаланумен жұмсау операциялары үшін 1 Бонус (BNS) 1 теңгеге (KZT) тең. </w:t>
      </w:r>
    </w:p>
    <w:p w:rsidR="002323EC" w:rsidRPr="00DA4AFB" w:rsidRDefault="00DA4AFB">
      <w:pPr>
        <w:pStyle w:val="20"/>
        <w:shd w:val="clear" w:color="auto" w:fill="auto"/>
        <w:spacing w:before="0" w:after="244" w:line="278" w:lineRule="exact"/>
        <w:ind w:firstLine="0"/>
        <w:rPr>
          <w:lang w:val="kk-KZ"/>
        </w:rPr>
      </w:pPr>
      <w:r>
        <w:rPr>
          <w:lang w:val="kk-KZ"/>
        </w:rPr>
        <w:t xml:space="preserve">1 Бонус (BNS) төлем карточкасын пайдаланумен  өзінің ағымдағы шотына бонустарды есепке қосу жолымен шығыс операциялары үшін  </w:t>
      </w:r>
      <w:r>
        <w:rPr>
          <w:lang w:val="kk-KZ"/>
        </w:rPr>
        <w:t>0,9 теңгеге  (KZT) тең.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rStyle w:val="21"/>
          <w:lang w:val="kk-KZ"/>
        </w:rPr>
        <w:t xml:space="preserve">Бонустық шот </w:t>
      </w:r>
      <w:r>
        <w:rPr>
          <w:lang w:val="kk-KZ"/>
        </w:rPr>
        <w:t>— Бонустарды есептеуді/жұмсауды есепке алуға  арналған Акция Қатысушысына Банк ашатын арнайы шоты.</w:t>
      </w:r>
    </w:p>
    <w:p w:rsidR="002323EC" w:rsidRPr="00DA4AFB" w:rsidRDefault="00DA4AFB">
      <w:pPr>
        <w:pStyle w:val="20"/>
        <w:shd w:val="clear" w:color="auto" w:fill="auto"/>
        <w:spacing w:before="0" w:after="236" w:line="274" w:lineRule="exact"/>
        <w:ind w:firstLine="0"/>
        <w:rPr>
          <w:lang w:val="kk-KZ"/>
        </w:rPr>
      </w:pPr>
      <w:r>
        <w:rPr>
          <w:rStyle w:val="21"/>
          <w:lang w:val="kk-KZ"/>
        </w:rPr>
        <w:t>Транзакция күні</w:t>
      </w:r>
      <w:r>
        <w:rPr>
          <w:lang w:val="kk-KZ"/>
        </w:rPr>
        <w:t xml:space="preserve"> - Акция Қатысушысымен төлем карточкасының және интернет-банкинг көмегімен тауарлар мен қызметтер үшін тө</w:t>
      </w:r>
      <w:r>
        <w:rPr>
          <w:lang w:val="kk-KZ"/>
        </w:rPr>
        <w:t xml:space="preserve">леу бойынша транзакцияның жасалатын  күні. </w:t>
      </w:r>
    </w:p>
    <w:p w:rsidR="002323EC" w:rsidRPr="00DA4AFB" w:rsidRDefault="00DA4AFB">
      <w:pPr>
        <w:pStyle w:val="20"/>
        <w:shd w:val="clear" w:color="auto" w:fill="auto"/>
        <w:spacing w:before="0" w:after="244" w:line="278" w:lineRule="exact"/>
        <w:ind w:firstLine="0"/>
        <w:rPr>
          <w:lang w:val="kk-KZ"/>
        </w:rPr>
      </w:pPr>
      <w:r>
        <w:rPr>
          <w:rStyle w:val="21"/>
          <w:lang w:val="kk-KZ"/>
        </w:rPr>
        <w:t xml:space="preserve">Интернет-банкинг немесе  Smartbank </w:t>
      </w:r>
      <w:r>
        <w:rPr>
          <w:lang w:val="kk-KZ"/>
        </w:rPr>
        <w:t xml:space="preserve">— Акция Қатысушысының банктік шоттарына қашықтықтан қол жеткізуге арналған банктік жүйе   </w:t>
      </w:r>
      <w:hyperlink r:id="rId5" w:history="1">
        <w:r>
          <w:rPr>
            <w:rStyle w:val="a3"/>
            <w:lang w:val="kk-KZ"/>
          </w:rPr>
          <w:t>(httрs/mу:smartbank.kz)</w:t>
        </w:r>
      </w:hyperlink>
      <w:r>
        <w:rPr>
          <w:lang w:val="kk-KZ"/>
        </w:rPr>
        <w:t>.</w:t>
      </w:r>
    </w:p>
    <w:p w:rsidR="002323EC" w:rsidRPr="00DA4AFB" w:rsidRDefault="00DA4AFB">
      <w:pPr>
        <w:pStyle w:val="20"/>
        <w:shd w:val="clear" w:color="auto" w:fill="auto"/>
        <w:spacing w:before="0" w:line="274" w:lineRule="exact"/>
        <w:ind w:firstLine="0"/>
        <w:rPr>
          <w:lang w:val="kk-KZ"/>
        </w:rPr>
      </w:pPr>
      <w:r>
        <w:rPr>
          <w:rStyle w:val="21"/>
          <w:lang w:val="kk-KZ"/>
        </w:rPr>
        <w:t xml:space="preserve">Кешбэк </w:t>
      </w:r>
      <w:r>
        <w:rPr>
          <w:lang w:val="kk-KZ"/>
        </w:rPr>
        <w:t>— осы  Талапта</w:t>
      </w:r>
      <w:r>
        <w:rPr>
          <w:lang w:val="kk-KZ"/>
        </w:rPr>
        <w:t>рда  және Банктің Уәкілетті тұлғасы  белгілеген мөлшерде және тәртіпте сатып алу құнының бөлігін қайтару.  Кешбэк бонустық шотқа Бонустар түрінде есептеледі.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rStyle w:val="21"/>
          <w:lang w:val="kk-KZ"/>
        </w:rPr>
        <w:t>Серіктес</w:t>
      </w:r>
      <w:r>
        <w:rPr>
          <w:lang w:val="kk-KZ"/>
        </w:rPr>
        <w:t xml:space="preserve"> - Акция Қатысушысына серіктестің  сауда-сервистік кәсіпорындарында артықшылықтарды (тауар</w:t>
      </w:r>
      <w:r>
        <w:rPr>
          <w:lang w:val="kk-KZ"/>
        </w:rPr>
        <w:t xml:space="preserve">ларға/қызметтерге жеңілдіктер, бонустардың көтеріңкі мөлшері және т.б.) алуға рұқсат беретін және Акция аясында Банкпен ынтымақтастық туралы шарт жасаған ұйым. 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rStyle w:val="21"/>
          <w:lang w:val="kk-KZ"/>
        </w:rPr>
        <w:lastRenderedPageBreak/>
        <w:t xml:space="preserve">Транзакция </w:t>
      </w:r>
      <w:r>
        <w:rPr>
          <w:lang w:val="kk-KZ"/>
        </w:rPr>
        <w:t>— Нәтижелері бойынша Банкпен бонустарды есептеу жүзеге асырылатын Акцияның Қатысушыс</w:t>
      </w:r>
      <w:r>
        <w:rPr>
          <w:lang w:val="kk-KZ"/>
        </w:rPr>
        <w:t>ының белсенділігі, оның ішінде Банктің ресурстарындағы шығыс операциялары, депозиттерді ашу, кредиттерді алу, тауарлар мен қызметтер үшін ақы төлеу операциялары, төлем карточкасын пайдаланумен банктік шоттарда қаражатты сақтау.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rStyle w:val="21"/>
          <w:lang w:val="kk-KZ"/>
        </w:rPr>
        <w:t>Акцияның талаптары</w:t>
      </w:r>
      <w:r>
        <w:rPr>
          <w:lang w:val="kk-KZ"/>
        </w:rPr>
        <w:t xml:space="preserve"> - осы Тал</w:t>
      </w:r>
      <w:r>
        <w:rPr>
          <w:lang w:val="kk-KZ"/>
        </w:rPr>
        <w:t>аптарда  және Банктің Уәкілетті тұлғасының шешімімен  анықталған мөлшерде және тәртіпте Акцияның Қатысушысының бонустық шотына бонустарды есептеуге қатысты Банктің міндеттемелеріне әкеп соқтыратын оқиғалар.</w:t>
      </w:r>
    </w:p>
    <w:p w:rsidR="002323EC" w:rsidRPr="00DA4AFB" w:rsidRDefault="00DA4AFB">
      <w:pPr>
        <w:pStyle w:val="20"/>
        <w:shd w:val="clear" w:color="auto" w:fill="auto"/>
        <w:spacing w:before="0" w:line="274" w:lineRule="exact"/>
        <w:ind w:firstLine="0"/>
        <w:rPr>
          <w:lang w:val="kk-KZ"/>
        </w:rPr>
      </w:pPr>
      <w:r>
        <w:rPr>
          <w:rStyle w:val="21"/>
          <w:lang w:val="kk-KZ"/>
        </w:rPr>
        <w:t>Банктің уәкілетті тұлғасы</w:t>
      </w:r>
      <w:r>
        <w:rPr>
          <w:lang w:val="kk-KZ"/>
        </w:rPr>
        <w:t xml:space="preserve"> -  келесі өкілеттіктерд</w:t>
      </w:r>
      <w:r>
        <w:rPr>
          <w:lang w:val="kk-KZ"/>
        </w:rPr>
        <w:t>і жүргізетін және   Бөлшек бизнес блогына жетекшілік етуші Банктің лауазымды тұлғасы (клиенттік тәжірибе бойынша басқарушы директормен алдын ала келісумен) :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>Банктің Уәкілетті органы бекіткен Бонустардың шекті мөлшерлерінің есебімен  Бонустар мөлшерлемелер</w:t>
      </w:r>
      <w:r>
        <w:rPr>
          <w:lang w:val="kk-KZ"/>
        </w:rPr>
        <w:t>ін бекіту;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>айына Бонустардың ең жоғары жиынтық мөлшерін белгілеу/өзгерту;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Акцияның талаптарын теріс  пайдалану тізімдемелерін толтыру;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74" w:lineRule="exact"/>
        <w:ind w:firstLine="0"/>
        <w:jc w:val="left"/>
        <w:rPr>
          <w:lang w:val="kk-KZ"/>
        </w:rPr>
      </w:pPr>
      <w:r>
        <w:rPr>
          <w:lang w:val="kk-KZ"/>
        </w:rPr>
        <w:t xml:space="preserve"> Серіктестермен шарттарды жасау/бұзу және/немесе жасалған шарттар аясында Акцияның жеке талаптарын ұсыну, сондай-ақ Акция бойынша  Банктің серіктестерімен біржолғы бағдарламаларды жүргізу  қажеттігі туралы  шешім қабылдау; - Акцияның талаптарын қасақана па</w:t>
      </w:r>
      <w:r>
        <w:rPr>
          <w:lang w:val="kk-KZ"/>
        </w:rPr>
        <w:t>йдаланудың айқындалуына байланысты Акцияға қатысушыларды шығару туралы шешім қабылдау;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240" w:line="274" w:lineRule="exact"/>
        <w:ind w:firstLine="0"/>
        <w:rPr>
          <w:lang w:val="kk-KZ"/>
        </w:rPr>
      </w:pPr>
      <w:r>
        <w:rPr>
          <w:lang w:val="kk-KZ"/>
        </w:rPr>
        <w:t>Сүйікті санаттарды алып тастау/толықтыру туралы шешім қабылдау.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rStyle w:val="21"/>
          <w:lang w:val="kk-KZ"/>
        </w:rPr>
        <w:t>Уәкілетті  орган</w:t>
      </w:r>
      <w:r>
        <w:rPr>
          <w:lang w:val="kk-KZ"/>
        </w:rPr>
        <w:t xml:space="preserve"> — Акцияны іске қосу, тоқтату және Талаптарын өзгерту туралы шешімді қабылдауға уәкілдік </w:t>
      </w:r>
      <w:r>
        <w:rPr>
          <w:lang w:val="kk-KZ"/>
        </w:rPr>
        <w:t>берілген Банктің алқалы органы.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rStyle w:val="21"/>
          <w:lang w:val="kk-KZ"/>
        </w:rPr>
        <w:t>Акцияға қатысушы</w:t>
      </w:r>
      <w:r>
        <w:rPr>
          <w:lang w:val="kk-KZ"/>
        </w:rPr>
        <w:t xml:space="preserve">* — 18 жасқа толған Қазақстан Республикасының резиденті/бейрезиденті болып табылатын жеке тұлға, атап айтқанда Акцияның талаптарына сәйкес келетін белсенділікті жасаған VISA/Master </w:t>
      </w:r>
      <w:r>
        <w:rPr>
          <w:lang w:val="kk-KZ"/>
        </w:rPr>
        <w:t>Card төлем карточкасының ұст</w:t>
      </w:r>
      <w:r>
        <w:rPr>
          <w:lang w:val="kk-KZ"/>
        </w:rPr>
        <w:t>аушысы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rStyle w:val="21"/>
          <w:lang w:val="kk-KZ"/>
        </w:rPr>
        <w:t xml:space="preserve">Е-соm </w:t>
      </w:r>
      <w:r>
        <w:rPr>
          <w:lang w:val="kk-KZ"/>
        </w:rPr>
        <w:t>— төлем карточкасын пайдаланумен интернетте жасалған тауарлар мен қызметтер ақысын төлеу бойынша шығыс операция.  Бұл белгіні  транзакцияның қалған анықтауыштарымен бірге халықаралық төлем жүйесі  береді.</w:t>
      </w:r>
    </w:p>
    <w:p w:rsidR="002323EC" w:rsidRPr="00DA4AFB" w:rsidRDefault="00DA4AFB">
      <w:pPr>
        <w:pStyle w:val="20"/>
        <w:shd w:val="clear" w:color="auto" w:fill="auto"/>
        <w:spacing w:before="0" w:after="267" w:line="274" w:lineRule="exact"/>
        <w:ind w:firstLine="0"/>
        <w:rPr>
          <w:lang w:val="kk-KZ"/>
        </w:rPr>
      </w:pPr>
      <w:r>
        <w:rPr>
          <w:rStyle w:val="21"/>
          <w:lang w:val="kk-KZ"/>
        </w:rPr>
        <w:t xml:space="preserve">МСС (Мегсhant Саtegorу Соdе) </w:t>
      </w:r>
      <w:r>
        <w:rPr>
          <w:lang w:val="kk-KZ"/>
        </w:rPr>
        <w:t>— тауарлы</w:t>
      </w:r>
      <w:r>
        <w:rPr>
          <w:lang w:val="kk-KZ"/>
        </w:rPr>
        <w:t>қ-сервистік кәсіпорындарды олардың</w:t>
      </w:r>
      <w:r>
        <w:rPr>
          <w:lang w:val="kk-KZ"/>
        </w:rPr>
        <w:softHyphen/>
        <w:t xml:space="preserve"> қызметінің түрі бойынша жіктеу үшін сауда орны түрінің коды.  Бұл кодты сауда-сервистік кәсіпорынға эквайер банк  береді.</w:t>
      </w:r>
    </w:p>
    <w:p w:rsidR="002323EC" w:rsidRPr="00DA4AFB" w:rsidRDefault="00DA4AFB">
      <w:pPr>
        <w:pStyle w:val="20"/>
        <w:shd w:val="clear" w:color="auto" w:fill="auto"/>
        <w:spacing w:before="0" w:after="256" w:line="240" w:lineRule="exact"/>
        <w:ind w:firstLine="0"/>
        <w:rPr>
          <w:lang w:val="kk-KZ"/>
        </w:rPr>
      </w:pPr>
      <w:r>
        <w:rPr>
          <w:rStyle w:val="21"/>
          <w:lang w:val="kk-KZ"/>
        </w:rPr>
        <w:t>POS-терминал</w:t>
      </w:r>
      <w:r>
        <w:rPr>
          <w:lang w:val="kk-KZ"/>
        </w:rPr>
        <w:t xml:space="preserve"> — төлем карточкаларын төлеуге қабылдауға арналған  электронды құрылғы.  </w:t>
      </w:r>
    </w:p>
    <w:p w:rsidR="002323EC" w:rsidRPr="00DA4AFB" w:rsidRDefault="00DA4AFB">
      <w:pPr>
        <w:pStyle w:val="20"/>
        <w:shd w:val="clear" w:color="auto" w:fill="auto"/>
        <w:spacing w:before="0" w:after="236" w:line="274" w:lineRule="exact"/>
        <w:ind w:firstLine="0"/>
        <w:rPr>
          <w:lang w:val="kk-KZ"/>
        </w:rPr>
      </w:pPr>
      <w:r>
        <w:rPr>
          <w:rStyle w:val="21"/>
          <w:lang w:val="kk-KZ"/>
        </w:rPr>
        <w:t xml:space="preserve">Retail-транзакция </w:t>
      </w:r>
      <w:r>
        <w:rPr>
          <w:lang w:val="kk-KZ"/>
        </w:rPr>
        <w:t xml:space="preserve">— сауда-сервистік кәсіпорындардың POS-терминалдары желісінде төлем карточкаларды пайдаланумен және интернет-дүкендерде </w:t>
      </w:r>
      <w:r>
        <w:rPr>
          <w:lang w:val="kk-KZ"/>
        </w:rPr>
        <w:softHyphen/>
        <w:t>E-com-операциялары арқылы тауарлар мен қызметтер үшін ақы төлеу бойынша шығыс операция.</w:t>
      </w:r>
    </w:p>
    <w:p w:rsidR="002323EC" w:rsidRPr="00DA4AFB" w:rsidRDefault="00DA4AFB">
      <w:pPr>
        <w:pStyle w:val="20"/>
        <w:shd w:val="clear" w:color="auto" w:fill="auto"/>
        <w:spacing w:before="0" w:line="278" w:lineRule="exact"/>
        <w:ind w:firstLine="0"/>
        <w:rPr>
          <w:lang w:val="kk-KZ"/>
        </w:rPr>
      </w:pPr>
      <w:r>
        <w:rPr>
          <w:rStyle w:val="21"/>
          <w:lang w:val="kk-KZ"/>
        </w:rPr>
        <w:t>Сүйікті санат</w:t>
      </w:r>
      <w:r>
        <w:rPr>
          <w:lang w:val="kk-KZ"/>
        </w:rPr>
        <w:t xml:space="preserve"> — Акцияның қатысушысына сауда және сервистің нақты орындарында жоғарылатылған бонустарды алу үшін карточканы қосуға мүмкіндік беретін Интернет-банкинг пен Smartbank-тағы Бонус шотының опциясы.</w:t>
      </w:r>
      <w:r>
        <w:rPr>
          <w:lang w:val="kk-KZ"/>
        </w:rPr>
        <w:br w:type="page"/>
      </w:r>
    </w:p>
    <w:p w:rsidR="002323EC" w:rsidRDefault="00DA4AFB">
      <w:pPr>
        <w:pStyle w:val="10"/>
        <w:keepNext/>
        <w:keepLines/>
        <w:shd w:val="clear" w:color="auto" w:fill="auto"/>
        <w:spacing w:after="256" w:line="240" w:lineRule="exact"/>
        <w:ind w:firstLine="0"/>
      </w:pPr>
      <w:bookmarkStart w:id="2" w:name="bookmark2"/>
      <w:r>
        <w:rPr>
          <w:lang w:val="kk-KZ"/>
        </w:rPr>
        <w:lastRenderedPageBreak/>
        <w:t>Жалпы талаптар</w:t>
      </w:r>
      <w:bookmarkEnd w:id="2"/>
    </w:p>
    <w:p w:rsidR="002323EC" w:rsidRDefault="00DA4AFB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line="27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8930" simplePos="0" relativeHeight="251658240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-384175</wp:posOffset>
                </wp:positionV>
                <wp:extent cx="140335" cy="152400"/>
                <wp:effectExtent l="0" t="190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EC" w:rsidRDefault="00DA4AFB">
                            <w:pPr>
                              <w:pStyle w:val="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lang w:val="kk-KZ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2pt;margin-left:2.75pt;margin-top:-30.25pt;mso-height-percent:0;mso-height-relative:page;mso-position-horizontal-relative:margin;mso-width-percent:0;mso-width-relative:page;mso-wrap-distance-bottom:0;mso-wrap-distance-left:5pt;mso-wrap-distance-right:25.9pt;mso-wrap-distance-top:0;mso-wrap-style:square;position:absolute;v-text-anchor:top;visibility:visible;width:11.05pt;z-index:-251657216" filled="f" stroked="f">
                <v:textbox style="mso-fit-shape-to-text:t" inset="0,0,0,0">
                  <w:txbxContent>
                    <w:p w:rsidR="002323EC">
                      <w:pPr>
                        <w:pStyle w:val="3"/>
                        <w:shd w:val="clear" w:color="auto" w:fill="auto"/>
                        <w:spacing w:line="240" w:lineRule="exact"/>
                      </w:pPr>
                      <w:r>
                        <w:t>2.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lang w:val="kk-KZ"/>
        </w:rPr>
        <w:t>Акцияның мәні:</w:t>
      </w:r>
    </w:p>
    <w:p w:rsidR="002323EC" w:rsidRDefault="00DA4AFB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line="274" w:lineRule="exact"/>
        <w:ind w:firstLine="0"/>
      </w:pPr>
      <w:r>
        <w:rPr>
          <w:lang w:val="kk-KZ"/>
        </w:rPr>
        <w:t>Акцияның Қатысушысына  Бо</w:t>
      </w:r>
      <w:r>
        <w:rPr>
          <w:lang w:val="kk-KZ"/>
        </w:rPr>
        <w:t>нустық шотқа Акцияның бонустарын есептеу.</w:t>
      </w:r>
    </w:p>
    <w:p w:rsidR="002323EC" w:rsidRDefault="00DA4AFB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line="274" w:lineRule="exact"/>
        <w:ind w:firstLine="0"/>
      </w:pPr>
      <w:r>
        <w:rPr>
          <w:lang w:val="kk-KZ"/>
        </w:rPr>
        <w:t>Акцияның Қатысушысының  Бонустарды пайдалануы (жұмсау).</w:t>
      </w:r>
    </w:p>
    <w:p w:rsidR="002323EC" w:rsidRPr="00DA4AFB" w:rsidRDefault="00DA4AFB">
      <w:pPr>
        <w:pStyle w:val="20"/>
        <w:numPr>
          <w:ilvl w:val="1"/>
          <w:numId w:val="4"/>
        </w:numPr>
        <w:shd w:val="clear" w:color="auto" w:fill="auto"/>
        <w:tabs>
          <w:tab w:val="left" w:pos="694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Акцияға жасалу күні Акцияны өткізу кезеңіне келетін және Акцияның талаптарына сәйкес келетін әрбір  операция қатысады.  </w:t>
      </w:r>
    </w:p>
    <w:p w:rsidR="002323EC" w:rsidRPr="00DA4AFB" w:rsidRDefault="00DA4AFB">
      <w:pPr>
        <w:pStyle w:val="20"/>
        <w:numPr>
          <w:ilvl w:val="1"/>
          <w:numId w:val="4"/>
        </w:numPr>
        <w:shd w:val="clear" w:color="auto" w:fill="auto"/>
        <w:tabs>
          <w:tab w:val="left" w:pos="694"/>
        </w:tabs>
        <w:spacing w:before="0" w:after="267" w:line="274" w:lineRule="exact"/>
        <w:ind w:firstLine="0"/>
        <w:rPr>
          <w:lang w:val="kk-KZ"/>
        </w:rPr>
      </w:pPr>
      <w:r>
        <w:rPr>
          <w:lang w:val="kk-KZ"/>
        </w:rPr>
        <w:t xml:space="preserve">Есептелетін Бонустардың саны және </w:t>
      </w:r>
      <w:r>
        <w:rPr>
          <w:lang w:val="kk-KZ"/>
        </w:rPr>
        <w:t>Акцияға қатысатын транзакциялардың түрлері  Банктің Уәкілетті тұлғасының шешімімен анықталады, ал басқа транзакциялар Акцияға қатыспайды.</w:t>
      </w:r>
    </w:p>
    <w:p w:rsidR="002323EC" w:rsidRDefault="00DA4AF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94"/>
        </w:tabs>
        <w:spacing w:after="261" w:line="240" w:lineRule="exact"/>
        <w:ind w:firstLine="0"/>
      </w:pPr>
      <w:bookmarkStart w:id="3" w:name="bookmark3"/>
      <w:r>
        <w:rPr>
          <w:lang w:val="kk-KZ"/>
        </w:rPr>
        <w:t>Қатысу тәртібі</w:t>
      </w:r>
      <w:bookmarkEnd w:id="3"/>
    </w:p>
    <w:p w:rsidR="002323EC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</w:pPr>
      <w:r>
        <w:rPr>
          <w:lang w:val="kk-KZ"/>
        </w:rPr>
        <w:t xml:space="preserve"> Акцияның Қатысушысы атану үшін келесі әрекеттерді жасау қажет:</w:t>
      </w:r>
    </w:p>
    <w:p w:rsidR="002323EC" w:rsidRDefault="00DA4AFB">
      <w:pPr>
        <w:pStyle w:val="20"/>
        <w:numPr>
          <w:ilvl w:val="2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</w:pPr>
      <w:r>
        <w:rPr>
          <w:lang w:val="kk-KZ"/>
        </w:rPr>
        <w:t>Төлем карточкасын пайдаланумен ағымдағы</w:t>
      </w:r>
      <w:r>
        <w:rPr>
          <w:lang w:val="kk-KZ"/>
        </w:rPr>
        <w:t xml:space="preserve"> шотты ашу немесе Акцияны өткізу сәтінде төлем карточкасын пайдаланумен ағымдағы шоттың бар болуы. </w:t>
      </w:r>
    </w:p>
    <w:p w:rsidR="002323EC" w:rsidRPr="00DA4AFB" w:rsidRDefault="00DA4AFB">
      <w:pPr>
        <w:pStyle w:val="20"/>
        <w:numPr>
          <w:ilvl w:val="2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>Акцияны өткізу кезеңі ішінде Акцияның Талаптарына сәйкес келетін кез келген транзакцияны жасау.  Барлық жеке тұлғалар, атап айтқанда Акцияның Талаптарына сә</w:t>
      </w:r>
      <w:r>
        <w:rPr>
          <w:lang w:val="kk-KZ"/>
        </w:rPr>
        <w:t>йкес келетін төлем карточкалардың ұстаушылары автоматты түрде Акцияның Қатысушылары атанады.  Акцияның Қатысушылары Акцияға қатысуға және осы Талаптарды сақтауға өз келісімін береді.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Банк Акцияның Қатысушысына Бонустық шотты автоматты түрде ашады. 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Бонуст</w:t>
      </w:r>
      <w:r>
        <w:rPr>
          <w:lang w:val="kk-KZ"/>
        </w:rPr>
        <w:t xml:space="preserve">ық шот бойынша қалдықты және қозғалысты (кірісті/шығысты) қарау Интернет-банкингте/Smartbank-те қолжетімді. 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after="267" w:line="274" w:lineRule="exact"/>
        <w:ind w:firstLine="0"/>
        <w:rPr>
          <w:lang w:val="kk-KZ"/>
        </w:rPr>
      </w:pPr>
      <w:r>
        <w:rPr>
          <w:lang w:val="kk-KZ"/>
        </w:rPr>
        <w:t xml:space="preserve">Көтеріңкі бонустарды алу үшін Акцияның Қатысушысына </w:t>
      </w:r>
      <w:r>
        <w:rPr>
          <w:lang w:val="kk-KZ"/>
        </w:rPr>
        <w:softHyphen/>
        <w:t>Интернет-банкингте/Smartbank-те «Сүйікті санаттар» бөлімінде Бонустық шот опциясын қосу қажет.</w:t>
      </w:r>
    </w:p>
    <w:p w:rsidR="002323EC" w:rsidRDefault="00DA4AF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94"/>
        </w:tabs>
        <w:spacing w:after="261" w:line="240" w:lineRule="exact"/>
        <w:ind w:firstLine="0"/>
      </w:pPr>
      <w:bookmarkStart w:id="4" w:name="bookmark4"/>
      <w:r>
        <w:rPr>
          <w:lang w:val="kk-KZ"/>
        </w:rPr>
        <w:t xml:space="preserve"> Бонустарды есептеу тәртібі </w:t>
      </w:r>
      <w:bookmarkEnd w:id="4"/>
    </w:p>
    <w:p w:rsidR="002323EC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</w:pPr>
      <w:r>
        <w:rPr>
          <w:lang w:val="kk-KZ"/>
        </w:rPr>
        <w:t xml:space="preserve"> Есептелетін Бонустардың сомасы Банкпен Акцияның Талаптарына сәйкес келетін транзакцияларды өңдеу фактісі бойынша есептеледі және 3 (үш) жұмыс күн ішінде Бонустық шотта көрсетілетін болады.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Бонустардың сомасы бүтін санның жүз</w:t>
      </w:r>
      <w:r>
        <w:rPr>
          <w:lang w:val="kk-KZ"/>
        </w:rPr>
        <w:t>дік үлестеріне дейін аз жағына қарай ықшамдалады, сосын осы сома Акцияның қатысушысына есептеледі.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Сатып алу операциясы болдырылмаған (қайтарылған) жағдайда Бонустық шоттағы қалдықтың мөлшері қайтарылған операцияның Бонустарының сомасына азайтылады.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Банк </w:t>
      </w:r>
      <w:r>
        <w:rPr>
          <w:lang w:val="kk-KZ"/>
        </w:rPr>
        <w:t>өз қалауынша, Акцияның Талаптарынан тыс кезде де Бонустық шотқа қосымша Бонустарды акцептісіз тәртіпте есептеуге құқылы.   Қосымша есептелген Бонустардың мақсаты Интернет-банкингтегі/Smartbank-тегі Бонустық шот бойынша үзінді көшірмеде көрсетіледі.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/>
        <w:ind w:firstLine="0"/>
        <w:rPr>
          <w:lang w:val="kk-KZ"/>
        </w:rPr>
      </w:pPr>
      <w:r>
        <w:rPr>
          <w:lang w:val="kk-KZ"/>
        </w:rPr>
        <w:t>Қосымша</w:t>
      </w:r>
      <w:r>
        <w:rPr>
          <w:lang w:val="kk-KZ"/>
        </w:rPr>
        <w:t xml:space="preserve"> есептелген Бонустардың мақсаты Интернет-банкингтегі/Smartbank-тегі Бонустық шот бойынша үзінді көшірмеде көрсетіледі.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4"/>
        </w:tabs>
        <w:spacing w:before="0"/>
        <w:ind w:firstLine="0"/>
        <w:rPr>
          <w:lang w:val="kk-KZ"/>
        </w:rPr>
      </w:pPr>
      <w:r>
        <w:rPr>
          <w:lang w:val="kk-KZ"/>
        </w:rPr>
        <w:t>Бонустар Клиент тиісті нұсқаулықты алып тастаған немесе оны орындауды тоқтатқан  жағдайда, сонымен бірге келесі операцияларды жүргізген к</w:t>
      </w:r>
      <w:r>
        <w:rPr>
          <w:lang w:val="kk-KZ"/>
        </w:rPr>
        <w:t>езде есептелінбейді: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ind w:firstLine="0"/>
        <w:rPr>
          <w:lang w:val="kk-KZ"/>
        </w:rPr>
      </w:pPr>
      <w:r>
        <w:rPr>
          <w:lang w:val="kk-KZ"/>
        </w:rPr>
        <w:t>қолма-қол ақша алу  (оның ішінде  банкомат немесе қолма-қол ақша беру орны арқылы);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/>
        <w:ind w:firstLine="0"/>
        <w:rPr>
          <w:lang w:val="kk-KZ"/>
        </w:rPr>
      </w:pPr>
      <w:r>
        <w:rPr>
          <w:lang w:val="kk-KZ"/>
        </w:rPr>
        <w:t>ақшаны төлем  карточкасын пайдаланумен ағымдағы шотқа есепке қосу;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before="0"/>
        <w:ind w:firstLine="0"/>
        <w:rPr>
          <w:lang w:val="kk-KZ"/>
        </w:rPr>
      </w:pPr>
      <w:r>
        <w:rPr>
          <w:lang w:val="kk-KZ"/>
        </w:rPr>
        <w:t>ертеректе есептен шығарылған тауарларға/қызметтерге төлемақының ақшасын төлем  карто</w:t>
      </w:r>
      <w:r>
        <w:rPr>
          <w:lang w:val="kk-KZ"/>
        </w:rPr>
        <w:t>чкасын пайдаланумен ағымдағы шотқа  қайтару;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line="322" w:lineRule="exact"/>
        <w:ind w:firstLine="0"/>
        <w:rPr>
          <w:lang w:val="kk-KZ"/>
        </w:rPr>
      </w:pPr>
      <w:r>
        <w:rPr>
          <w:lang w:val="kk-KZ"/>
        </w:rPr>
        <w:t>жол чектерін, сонымен бірге осыған ұқсас ақшаларды  (крипто валюта, электрондық  валюта және т.б.) сатып алу;</w:t>
      </w:r>
      <w:r>
        <w:rPr>
          <w:lang w:val="kk-KZ"/>
        </w:rPr>
        <w:br w:type="page"/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firstLine="0"/>
        <w:rPr>
          <w:lang w:val="kk-KZ"/>
        </w:rPr>
      </w:pPr>
      <w:r>
        <w:rPr>
          <w:lang w:val="kk-KZ"/>
        </w:rPr>
        <w:lastRenderedPageBreak/>
        <w:t>шетел  валютасын сатып алу және  шетел  валютасын сатып алумен байланысты комиссияларға ақы төлеу;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firstLine="0"/>
        <w:rPr>
          <w:lang w:val="kk-KZ"/>
        </w:rPr>
      </w:pPr>
      <w:r>
        <w:rPr>
          <w:lang w:val="kk-KZ"/>
        </w:rPr>
        <w:t>ұ</w:t>
      </w:r>
      <w:r>
        <w:rPr>
          <w:lang w:val="kk-KZ"/>
        </w:rPr>
        <w:t>тыс тігу мен бәс тігулерге, лотереялық билеттерге, сыйақылар мен басқа мадақтау ойындарына қатысуға құқықтарды сатып алу;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</w:pPr>
      <w:r>
        <w:rPr>
          <w:lang w:val="kk-KZ"/>
        </w:rPr>
        <w:t>ақша аудару;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</w:pPr>
      <w:r>
        <w:rPr>
          <w:lang w:val="kk-KZ"/>
        </w:rPr>
        <w:t>тиісті шарт бойынша ҚР екінші деңгейдегі банктерінің алдындағы берешектеріне ақша төлеу;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  <w:ind w:firstLine="0"/>
        <w:rPr>
          <w:lang w:val="kk-KZ"/>
        </w:rPr>
      </w:pPr>
      <w:r>
        <w:rPr>
          <w:lang w:val="kk-KZ"/>
        </w:rPr>
        <w:t xml:space="preserve">клиенттің шотына салынған </w:t>
      </w:r>
      <w:r>
        <w:rPr>
          <w:lang w:val="kk-KZ"/>
        </w:rPr>
        <w:t>шектеулер/тыйым салулар болған кезде. Қолданыстағы заңнаманың аясында</w:t>
      </w:r>
      <w:r>
        <w:rPr>
          <w:lang w:val="kk-KZ"/>
        </w:rPr>
        <w:t xml:space="preserve">, қоса </w:t>
      </w:r>
      <w:r>
        <w:rPr>
          <w:lang w:val="kk-KZ"/>
        </w:rPr>
        <w:t xml:space="preserve">алғанда, онымен шектелмей: уәкілетті органдардың, екінші деңгейдегі банктердің сот </w:t>
      </w:r>
      <w:r>
        <w:rPr>
          <w:lang w:val="kk-KZ"/>
        </w:rPr>
        <w:t>орындаушыларының</w:t>
      </w:r>
      <w:r w:rsidRPr="00DA4AFB">
        <w:rPr>
          <w:lang w:val="kk-KZ"/>
        </w:rPr>
        <w:t xml:space="preserve"> </w:t>
      </w:r>
      <w:r>
        <w:rPr>
          <w:lang w:val="kk-KZ"/>
        </w:rPr>
        <w:t>тыйым салынғандар</w:t>
      </w:r>
      <w:r>
        <w:rPr>
          <w:lang w:val="kk-KZ"/>
        </w:rPr>
        <w:t>ы</w:t>
      </w:r>
      <w:r>
        <w:rPr>
          <w:lang w:val="kk-KZ"/>
        </w:rPr>
        <w:t>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</w:pPr>
      <w:r>
        <w:rPr>
          <w:lang w:val="kk-KZ"/>
        </w:rPr>
        <w:t>бизнес қызметтерге және  В2В сервистеріне ақы төлеу;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</w:pPr>
      <w:r>
        <w:rPr>
          <w:lang w:val="kk-KZ"/>
        </w:rPr>
        <w:t>электрон</w:t>
      </w:r>
      <w:r>
        <w:rPr>
          <w:lang w:val="kk-KZ"/>
        </w:rPr>
        <w:t>ды әмияндарды толықтыру;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</w:pPr>
      <w:r>
        <w:rPr>
          <w:lang w:val="kk-KZ"/>
        </w:rPr>
        <w:t>телефон сатуларын қоса алғанда,  телекоммуникациялық құрал-жабдықтарды сатып алу;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</w:pPr>
      <w:r>
        <w:rPr>
          <w:lang w:val="kk-KZ"/>
        </w:rPr>
        <w:t>жарнамалық қызметтерге ақы төлеу;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</w:pPr>
      <w:r>
        <w:rPr>
          <w:lang w:val="kk-KZ"/>
        </w:rPr>
        <w:t>ломбардтарға ақы төлеу;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286"/>
        <w:ind w:left="400"/>
      </w:pPr>
      <w:r>
        <w:rPr>
          <w:lang w:val="kk-KZ"/>
        </w:rPr>
        <w:t>сот орындаушыларының қызметтеріне және/немесе сот қызметтеріне/баж салықтарына ақы төлеу.</w:t>
      </w:r>
    </w:p>
    <w:p w:rsidR="002323EC" w:rsidRDefault="00DA4AF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02"/>
        </w:tabs>
        <w:spacing w:after="201" w:line="240" w:lineRule="exact"/>
        <w:ind w:left="400"/>
      </w:pPr>
      <w:bookmarkStart w:id="5" w:name="bookmark5"/>
      <w:r>
        <w:rPr>
          <w:lang w:val="kk-KZ"/>
        </w:rPr>
        <w:t xml:space="preserve"> </w:t>
      </w:r>
      <w:r>
        <w:rPr>
          <w:lang w:val="kk-KZ"/>
        </w:rPr>
        <w:t>Бонустарды пайдалану тәртібі</w:t>
      </w:r>
      <w:bookmarkEnd w:id="5"/>
    </w:p>
    <w:p w:rsidR="002323EC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02"/>
        </w:tabs>
        <w:spacing w:before="0" w:line="274" w:lineRule="exact"/>
        <w:ind w:left="400"/>
      </w:pPr>
      <w:r>
        <w:rPr>
          <w:lang w:val="kk-KZ"/>
        </w:rPr>
        <w:t xml:space="preserve"> Есептелген бонустарды келесі жолдармен пайдалануға болады:</w:t>
      </w:r>
    </w:p>
    <w:p w:rsidR="002323EC" w:rsidRDefault="00DA4AFB">
      <w:pPr>
        <w:pStyle w:val="20"/>
        <w:numPr>
          <w:ilvl w:val="2"/>
          <w:numId w:val="5"/>
        </w:numPr>
        <w:shd w:val="clear" w:color="auto" w:fill="auto"/>
        <w:tabs>
          <w:tab w:val="left" w:pos="702"/>
        </w:tabs>
        <w:spacing w:before="0" w:line="274" w:lineRule="exact"/>
        <w:ind w:left="400"/>
      </w:pPr>
      <w:r>
        <w:rPr>
          <w:lang w:val="kk-KZ"/>
        </w:rPr>
        <w:t>Кез келген POS-терминалдарда төлеу.</w:t>
      </w:r>
    </w:p>
    <w:p w:rsidR="002323EC" w:rsidRDefault="00DA4AFB">
      <w:pPr>
        <w:pStyle w:val="20"/>
        <w:numPr>
          <w:ilvl w:val="2"/>
          <w:numId w:val="5"/>
        </w:numPr>
        <w:shd w:val="clear" w:color="auto" w:fill="auto"/>
        <w:tabs>
          <w:tab w:val="left" w:pos="702"/>
        </w:tabs>
        <w:spacing w:before="0" w:line="274" w:lineRule="exact"/>
        <w:ind w:left="400"/>
      </w:pPr>
      <w:r>
        <w:rPr>
          <w:lang w:val="kk-KZ"/>
        </w:rPr>
        <w:t>Кез келген интернет-дүкендерде төлеу.</w:t>
      </w:r>
    </w:p>
    <w:p w:rsidR="002323EC" w:rsidRDefault="00DA4AFB">
      <w:pPr>
        <w:pStyle w:val="20"/>
        <w:numPr>
          <w:ilvl w:val="2"/>
          <w:numId w:val="5"/>
        </w:numPr>
        <w:shd w:val="clear" w:color="auto" w:fill="auto"/>
        <w:tabs>
          <w:tab w:val="left" w:pos="707"/>
        </w:tabs>
        <w:spacing w:before="0" w:line="274" w:lineRule="exact"/>
        <w:ind w:firstLine="0"/>
      </w:pPr>
      <w:r>
        <w:rPr>
          <w:lang w:val="kk-KZ"/>
        </w:rPr>
        <w:t xml:space="preserve">Бонустарды төлем карточкасын пайдаланумен ағымдағы шотқа интернет-банкинг арқылы аудару. </w:t>
      </w:r>
    </w:p>
    <w:p w:rsidR="002323EC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02"/>
        </w:tabs>
        <w:spacing w:before="0" w:line="274" w:lineRule="exact"/>
        <w:ind w:firstLine="0"/>
      </w:pPr>
      <w:r>
        <w:rPr>
          <w:lang w:val="kk-KZ"/>
        </w:rPr>
        <w:t>Есептелген Бонустарды пайдалану (жұмсау) талаптары  №1 қосымшада  анықталады;</w:t>
      </w:r>
    </w:p>
    <w:p w:rsidR="002323EC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02"/>
        </w:tabs>
        <w:spacing w:before="0" w:line="274" w:lineRule="exact"/>
        <w:ind w:firstLine="0"/>
      </w:pPr>
      <w:r>
        <w:rPr>
          <w:lang w:val="kk-KZ"/>
        </w:rPr>
        <w:t xml:space="preserve">Банктің бұрын әрекет еткен акциялары бойынша есептелген бонустар ағымдағы Акцияның шеңберінде де пайдаланылуға (жұмсалуға) қолжетімді. </w:t>
      </w:r>
    </w:p>
    <w:p w:rsidR="002323EC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02"/>
        </w:tabs>
        <w:spacing w:before="0" w:line="274" w:lineRule="exact"/>
        <w:ind w:firstLine="0"/>
      </w:pPr>
      <w:r>
        <w:rPr>
          <w:lang w:val="kk-KZ"/>
        </w:rPr>
        <w:t xml:space="preserve">Бонустардың қолданылу мерзімі  -  12 ай. </w:t>
      </w:r>
      <w:r>
        <w:rPr>
          <w:lang w:val="kk-KZ"/>
        </w:rPr>
        <w:t>Пайдаланылмаған бонустар олардың бонустық шотқа есептелген күннен бастап 12 ай ішінде есептен шығарылады.</w:t>
      </w:r>
    </w:p>
    <w:p w:rsidR="002323EC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520"/>
        </w:tabs>
        <w:spacing w:before="0" w:line="274" w:lineRule="exact"/>
        <w:ind w:left="400"/>
      </w:pPr>
      <w:r>
        <w:rPr>
          <w:lang w:val="kk-KZ"/>
        </w:rPr>
        <w:t>Есептелген Бонустарды Клиент тиісті нұсқаулықты алып тастаған немесе оны орындауды тоқтатқан  жағдайда, сонымен бірге келесі операцияларды жүргізген к</w:t>
      </w:r>
      <w:r>
        <w:rPr>
          <w:lang w:val="kk-KZ"/>
        </w:rPr>
        <w:t>езде пайдалануға рұқсат етілмейді: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74" w:lineRule="exact"/>
        <w:ind w:left="400" w:firstLine="0"/>
      </w:pPr>
      <w:r>
        <w:rPr>
          <w:lang w:val="kk-KZ"/>
        </w:rPr>
        <w:t>қолма-қол ақша алу  (оның ішінде  банкомат немесе қолма-қол ақша беру орны арқылы);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ертеректе есептен шығарылған тауарларға/қызметтерге төлемақының ақшасын төлем  карточкасын пайдаланумен ағымдағы шотқа  қайтару;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жол чект</w:t>
      </w:r>
      <w:r>
        <w:rPr>
          <w:lang w:val="kk-KZ"/>
        </w:rPr>
        <w:t>ерін, сонымен бірге осыған ұқсас ақшаларды  (крипто валюта, электрондық  валюта және т.б.) сатып алу;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шетел  валютасын сатып алу және  шетел  валютасын сатып алумен байланысты комиссияларға ақы төлеу;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ұтыс тігу мен бәс тігулерге, лотереялық билеттерге, сый</w:t>
      </w:r>
      <w:r>
        <w:rPr>
          <w:lang w:val="kk-KZ"/>
        </w:rPr>
        <w:t>ақылар мен басқа мадақтау ойындарына қатысуға құқықтарды сатып алу;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ақша аудару;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74" w:lineRule="exact"/>
        <w:ind w:left="400" w:firstLine="0"/>
      </w:pPr>
      <w:r>
        <w:rPr>
          <w:lang w:val="kk-KZ"/>
        </w:rPr>
        <w:t>тиісті шарт бойынша ҚР екінші деңгейдегі банктерінің алдындағы берешектеріне ақша төлеу;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74" w:lineRule="exact"/>
        <w:ind w:left="400" w:firstLine="0"/>
        <w:rPr>
          <w:lang w:val="kk-KZ"/>
        </w:rPr>
      </w:pPr>
      <w:r>
        <w:rPr>
          <w:lang w:val="kk-KZ"/>
        </w:rPr>
        <w:t xml:space="preserve">клиенттің шотына салынған шектеулер/тыйым салулар болған кезде. Қолданыстағы </w:t>
      </w:r>
      <w:r>
        <w:rPr>
          <w:lang w:val="kk-KZ"/>
        </w:rPr>
        <w:t>заңнаманың аясында тыйым салынғандар, қоса алғанда, онымен шектелмей: уәкілетті органдардың, екінші деңгейдегі банктердің сот орындаушыларының;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бизнес қызметтерге және  В2В сервистеріне ақы төлеу;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электронды әмияндарды толықтыру;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телефон сатуларын қоса алғ</w:t>
      </w:r>
      <w:r>
        <w:rPr>
          <w:lang w:val="kk-KZ"/>
        </w:rPr>
        <w:t>анда,  телекоммуникациялық құрал-жабдықтарды сатып алу;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lastRenderedPageBreak/>
        <w:t>жарнамалық қызметтерге ақы төлеу;</w:t>
      </w:r>
    </w:p>
    <w:p w:rsidR="002323EC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74" w:lineRule="exact"/>
        <w:ind w:left="400" w:firstLine="0"/>
      </w:pPr>
      <w:r>
        <w:rPr>
          <w:lang w:val="kk-KZ"/>
        </w:rPr>
        <w:t>ломбардтарға ақы төлеу;</w:t>
      </w:r>
    </w:p>
    <w:p w:rsidR="002323EC" w:rsidRDefault="00DA4AFB">
      <w:pPr>
        <w:pStyle w:val="20"/>
        <w:shd w:val="clear" w:color="auto" w:fill="auto"/>
        <w:spacing w:before="0" w:after="283" w:line="240" w:lineRule="exact"/>
        <w:ind w:left="400" w:firstLine="0"/>
        <w:jc w:val="left"/>
      </w:pPr>
      <w:r>
        <w:rPr>
          <w:lang w:val="kk-KZ"/>
        </w:rPr>
        <w:t>- сот орындаушыларының қызметтеріне және/немесе сот қызметтеріне/баж салықтарына ақы төлеу.</w:t>
      </w:r>
    </w:p>
    <w:p w:rsidR="002323EC" w:rsidRDefault="00DA4AFB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27"/>
        </w:tabs>
        <w:spacing w:after="261" w:line="240" w:lineRule="exact"/>
        <w:ind w:firstLine="0"/>
      </w:pPr>
      <w:bookmarkStart w:id="6" w:name="bookmark6"/>
      <w:r>
        <w:rPr>
          <w:lang w:val="kk-KZ"/>
        </w:rPr>
        <w:t xml:space="preserve"> Акцияның басқа талаптары</w:t>
      </w:r>
      <w:bookmarkEnd w:id="6"/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Акцияның Қатысушысының </w:t>
      </w:r>
      <w:r>
        <w:rPr>
          <w:lang w:val="kk-KZ"/>
        </w:rPr>
        <w:t>Акцияның әрекет ету кезеңі ішінде Бонустарды есептеуге байланысты кез келген наразылығы бойынша Банктің Акцияның талаптарын бұзу үшін Акцияның Қатысушысының алдындағы жауапкершілігі Акцияның Қатысушысымен таласты транзакция бойынша Бонустардың тиісті сомас</w:t>
      </w:r>
      <w:r>
        <w:rPr>
          <w:lang w:val="kk-KZ"/>
        </w:rPr>
        <w:t>ын есептеумен шектеледі.  Банк  даулы транзакцияларды тексеру аяқталғанға дейін Клиентке тиісті Бонустарды есептеуден/пайдаланудан  (Бонустарды оқшауландыру) бас тартуға құқылы.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Банк Акцияның жаңа оқылымының электронды нұсқасын корпоративтік сайтта</w:t>
      </w:r>
      <w:hyperlink r:id="rId6" w:history="1">
        <w:r w:rsidRPr="00DA4AFB">
          <w:rPr>
            <w:rStyle w:val="a3"/>
            <w:u w:val="none"/>
            <w:lang w:val="kk-KZ"/>
          </w:rPr>
          <w:t xml:space="preserve">  </w:t>
        </w:r>
        <w:r>
          <w:rPr>
            <w:rStyle w:val="a3"/>
            <w:lang w:val="kk-KZ"/>
          </w:rPr>
          <w:t>(</w:t>
        </w:r>
        <w:r w:rsidRPr="00DA4AFB">
          <w:rPr>
            <w:color w:val="1F4E79" w:themeColor="accent1" w:themeShade="80"/>
            <w:u w:val="single"/>
            <w:lang w:val="kk-KZ"/>
          </w:rPr>
          <w:t>Smartbank.</w:t>
        </w:r>
        <w:r w:rsidRPr="00DA4AFB">
          <w:rPr>
            <w:rStyle w:val="a3"/>
            <w:color w:val="1F4E79" w:themeColor="accent1" w:themeShade="80"/>
            <w:lang w:val="kk-KZ"/>
          </w:rPr>
          <w:t>kz)</w:t>
        </w:r>
        <w:r w:rsidRPr="00DA4AFB">
          <w:rPr>
            <w:rStyle w:val="a3"/>
            <w:color w:val="auto"/>
            <w:u w:val="none"/>
            <w:lang w:val="kk-KZ"/>
          </w:rPr>
          <w:t xml:space="preserve"> </w:t>
        </w:r>
        <w:r w:rsidRPr="00DA4AFB">
          <w:rPr>
            <w:rStyle w:val="a3"/>
            <w:color w:val="auto"/>
            <w:u w:val="none"/>
            <w:lang w:val="kk-KZ"/>
          </w:rPr>
          <w:t>орналастыру</w:t>
        </w:r>
      </w:hyperlink>
      <w:r>
        <w:rPr>
          <w:lang w:val="kk-KZ"/>
        </w:rPr>
        <w:t xml:space="preserve"> және/немесе Акцияның Қатысушыларына SMS-хабарландыруды жіберу (Банктің қалауынша) арқылы Акцияның Қатысушыларына бекіту күнінен бастап 7 (жеті) күннен кейін күшіне енетін осындай толықтырулар/өзге</w:t>
      </w:r>
      <w:r>
        <w:rPr>
          <w:lang w:val="kk-KZ"/>
        </w:rPr>
        <w:t>ртулер Банктің Уәкілетті тұлғасымен бекітілгеннен кейін келесі жұмыс күннен кеш емес ескерте, біржақты тәртіпте Акцияның талаптарына өзгертулерді және толықтыруларды енгізуге құқылы. 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Акция қатысу арқылы Акцияның Қатысушысы Акцияның талаптарына өзгертулер</w:t>
      </w:r>
      <w:r>
        <w:rPr>
          <w:lang w:val="kk-KZ"/>
        </w:rPr>
        <w:t>ді және толықтыруларды өздігінен қадағалауға келісімін береді.   Акцияның Қатысушысымен осы  Талаптардың</w:t>
      </w:r>
      <w:r>
        <w:rPr>
          <w:lang w:val="kk-KZ"/>
        </w:rPr>
        <w:t>/Банктің Уәкілетті  тұлғасының шешімімен жаңа редакция  күшіне енгеннен кейін Акцияның талаптарына сәйкес келетін транзакцияларды жасау Акцияның Қатысушы</w:t>
      </w:r>
      <w:r>
        <w:rPr>
          <w:lang w:val="kk-KZ"/>
        </w:rPr>
        <w:t>сының Талаптардың  жаңа оқылымымен келіскеніне растау болып табылады.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>Банк Акцияға Қатысушыны ескертусіз және кез келген себеп бойынша, оның ішінде Акцияның Қатысушысы Акцияның талаптарын сақтамаса және/немесе оларды теріс пайдаланған кезде** Акцияның Қаты</w:t>
      </w:r>
      <w:r>
        <w:rPr>
          <w:lang w:val="kk-KZ"/>
        </w:rPr>
        <w:t>сушылары қатарынан шығаруға құқылы.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>Банк  Акцияға алдын ала хабарлаусыз келесі жағдайларда Клиенттің қатысуын біржақты тәртіпте тоқтатуға, шектеуге, сонымен бірге қысқартып тастауға құқылы: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120" w:line="274" w:lineRule="exact"/>
        <w:ind w:firstLine="0"/>
        <w:rPr>
          <w:lang w:val="kk-KZ"/>
        </w:rPr>
      </w:pPr>
      <w:r>
        <w:rPr>
          <w:lang w:val="kk-KZ"/>
        </w:rPr>
        <w:t>Банкте Акцияны кәсіпкерлік қызметті жүргізу , оның ішінде туристік</w:t>
      </w:r>
      <w:r>
        <w:rPr>
          <w:lang w:val="kk-KZ"/>
        </w:rPr>
        <w:t xml:space="preserve"> қызметті жүргізу мақсатында пайдаланады деп есептеуге негіздеме болған жағдайда;</w:t>
      </w:r>
    </w:p>
    <w:p w:rsidR="002323EC" w:rsidRPr="00DA4AFB" w:rsidRDefault="00DA4AFB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Клиент  Қазақстан  Республикасының заңнамаларын және/немесе «Еуразиялық банк» АҚ банктік және өзге қызметтер көрсетудің стандартты талаптары (Қосылу шарты)  аясында Клиент қ</w:t>
      </w:r>
      <w:r>
        <w:rPr>
          <w:lang w:val="kk-KZ"/>
        </w:rPr>
        <w:t xml:space="preserve">абылдаған міндеттерді, оның ішінде Қосылу шарты бойынша мерзімі                 </w:t>
      </w:r>
      <w:r>
        <w:rPr>
          <w:lang w:val="kk-KZ"/>
        </w:rPr>
        <w:t>кешіктірілген берешегі болған  жағдайда;</w:t>
      </w:r>
    </w:p>
    <w:p w:rsidR="002323EC" w:rsidRPr="00DA4AFB" w:rsidRDefault="00DA4AFB">
      <w:pPr>
        <w:pStyle w:val="20"/>
        <w:shd w:val="clear" w:color="auto" w:fill="auto"/>
        <w:spacing w:before="0" w:after="240" w:line="274" w:lineRule="exact"/>
        <w:ind w:firstLine="0"/>
        <w:rPr>
          <w:lang w:val="kk-KZ"/>
        </w:rPr>
      </w:pPr>
      <w:r>
        <w:rPr>
          <w:lang w:val="kk-KZ"/>
        </w:rPr>
        <w:t>Банктің қарастыруы бойынша басқа жағдайларда.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466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Банк  Клиентке  чектерді бергені/ Бонустар есептелгені үшін Операцияларды жасағанын растайтын басқа құжа</w:t>
      </w:r>
      <w:r>
        <w:rPr>
          <w:lang w:val="kk-KZ"/>
        </w:rPr>
        <w:t>ттарды бергені туралы сұрау жіберуге құқылы. Клиент  Банкке көрсетілген құжаттарды бермеген жағдайда, Банк  Клиентке  тиісті  Операция үшін Бонустар есептеуден бас тартуға құқылы.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Банк халықаралық төлем жүйелерінен деректерді табыстаудың және транзакцияны</w:t>
      </w:r>
      <w:r>
        <w:rPr>
          <w:lang w:val="kk-KZ"/>
        </w:rPr>
        <w:t>ң басқа белгілерінің  (мысалы: МСС коды, электронды коммерция белгісі және т.б.) дұрыстылығы үшін жауапкершілікте болмайды және Бонустарды алынған ақпаратқа сәйкес ешқандай өзгеріссіз есептейді.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0"/>
        <w:rPr>
          <w:lang w:val="kk-KZ"/>
        </w:rPr>
      </w:pPr>
      <w:r>
        <w:rPr>
          <w:lang w:val="kk-KZ"/>
        </w:rPr>
        <w:t xml:space="preserve"> Бонустарды есептеу бойынша оқиғалар қатысатын есептеудің бар</w:t>
      </w:r>
      <w:r>
        <w:rPr>
          <w:lang w:val="kk-KZ"/>
        </w:rPr>
        <w:t>лық ережелері үшін (мысалы депозитті сақтау, кредитті алу және т.б. үшін бонус), Банк алаяқтық әрекеттерді болдырмау және бейілділік бағдарламасын теріс пайдаланбау мақсатында оқиға (кредитті беру, депозитті толықтыру) орын алғаннан кейін 3-ші жұмыс күнінд</w:t>
      </w:r>
      <w:r>
        <w:rPr>
          <w:lang w:val="kk-KZ"/>
        </w:rPr>
        <w:t xml:space="preserve">е оқиғаны өңдейді.  Осындай оқиғалар бойынша Акцияның Қатысушысы осындай оқиғалар бойынша бонустарды Банкпен өңдеу жүргізілгеннен кейін ғана алады. </w:t>
      </w:r>
    </w:p>
    <w:p w:rsidR="002323EC" w:rsidRPr="00DA4AFB" w:rsidRDefault="00DA4AFB">
      <w:pPr>
        <w:pStyle w:val="20"/>
        <w:numPr>
          <w:ilvl w:val="1"/>
          <w:numId w:val="5"/>
        </w:numPr>
        <w:shd w:val="clear" w:color="auto" w:fill="auto"/>
        <w:tabs>
          <w:tab w:val="left" w:pos="696"/>
        </w:tabs>
        <w:spacing w:before="0" w:after="219" w:line="274" w:lineRule="exact"/>
        <w:ind w:firstLine="0"/>
        <w:rPr>
          <w:lang w:val="kk-KZ"/>
        </w:rPr>
      </w:pPr>
      <w:r>
        <w:rPr>
          <w:lang w:val="kk-KZ"/>
        </w:rPr>
        <w:t>Банк біржақты тәртіпте  Сүйікті  санаттарды қосуға/алып тастауға, Сүйікті санаттағы  бонустарды есептен мөл</w:t>
      </w:r>
      <w:r>
        <w:rPr>
          <w:lang w:val="kk-KZ"/>
        </w:rPr>
        <w:t xml:space="preserve">шерін және/немесе талаптарын өзгертуге, Акцияның талаптарына </w:t>
      </w:r>
      <w:r>
        <w:rPr>
          <w:lang w:val="kk-KZ"/>
        </w:rPr>
        <w:lastRenderedPageBreak/>
        <w:t>сауда және сервис орындаурын қосуға/алып тастауға құқылы.</w:t>
      </w:r>
    </w:p>
    <w:p w:rsidR="002323EC" w:rsidRPr="00DA4AFB" w:rsidRDefault="00DA4AFB">
      <w:pPr>
        <w:pStyle w:val="40"/>
        <w:shd w:val="clear" w:color="auto" w:fill="auto"/>
        <w:spacing w:before="0" w:after="56"/>
        <w:rPr>
          <w:lang w:val="kk-KZ"/>
        </w:rPr>
      </w:pPr>
      <w:r>
        <w:rPr>
          <w:lang w:val="kk-KZ"/>
        </w:rPr>
        <w:t xml:space="preserve">* Барлық мәмілелер (жинақтық  шотты ашу, қарыз шартын жасау, төлем карточкасын шығару) Банктің  </w:t>
      </w:r>
      <w:bookmarkStart w:id="7" w:name="_GoBack"/>
      <w:bookmarkEnd w:id="7"/>
      <w:r>
        <w:rPr>
          <w:lang w:val="kk-KZ"/>
        </w:rPr>
        <w:t>ІНҚ-та қарастырылған «Еурази</w:t>
      </w:r>
      <w:r>
        <w:rPr>
          <w:lang w:val="kk-KZ"/>
        </w:rPr>
        <w:t>ялық банк» АҚ банктік және өзге қызметтер көрсетудің стандартты талаптары (Қосылу шарты)  аясында  жасалады (Банктің бөлімшелерінің қажетті қорытындыларын алу, Банкпен айрықша қатынас бойынша  қатыстылығына, табыстарды жылыстатуға және терроризмді қаржылан</w:t>
      </w:r>
      <w:r>
        <w:rPr>
          <w:lang w:val="kk-KZ"/>
        </w:rPr>
        <w:t>дыруға қарсы әрекет бойынша талаптардың сақталуына тексеру, Қазақстан Республикасының заңнамалық актілері және басқа нормативтік құжаттары аясында жүргізілетін басқа тексерулер).</w:t>
      </w:r>
    </w:p>
    <w:p w:rsidR="002323EC" w:rsidRPr="00DA4AFB" w:rsidRDefault="00DA4AFB">
      <w:pPr>
        <w:pStyle w:val="40"/>
        <w:shd w:val="clear" w:color="auto" w:fill="auto"/>
        <w:spacing w:before="0" w:line="230" w:lineRule="exact"/>
        <w:rPr>
          <w:lang w:val="kk-KZ"/>
        </w:rPr>
      </w:pPr>
      <w:r>
        <w:rPr>
          <w:lang w:val="kk-KZ"/>
        </w:rPr>
        <w:t>** Акцияның талаптарын теріс пайдалану – Акцияның Қатысушысының (Банктің пікірі бойынша) Акцияның Талаптарын  бұзатын әрекеттері, Акцияның Талаптарын және оның талаптарын сақтамау, алаяқтық әрекеттерін жасау, Акцияның аясында берілетін қайсыбір артықшылықт</w:t>
      </w:r>
      <w:r>
        <w:rPr>
          <w:lang w:val="kk-KZ"/>
        </w:rPr>
        <w:t xml:space="preserve">арды/ынталандыруды теріс пайдалану, Банктің Серіктестеріне жаңылыстыратын ақпаратты немесе қате деректерді ұсыну.  </w:t>
      </w:r>
    </w:p>
    <w:p w:rsidR="002323EC" w:rsidRPr="00DA4AFB" w:rsidRDefault="00DA4AFB">
      <w:pPr>
        <w:pStyle w:val="40"/>
        <w:shd w:val="clear" w:color="auto" w:fill="auto"/>
        <w:spacing w:before="0" w:after="64" w:line="230" w:lineRule="exact"/>
        <w:rPr>
          <w:lang w:val="kk-KZ"/>
        </w:rPr>
      </w:pPr>
      <w:r>
        <w:rPr>
          <w:lang w:val="kk-KZ"/>
        </w:rPr>
        <w:t>Егер Банкте ақшамен және (немесе) клиенттің басқа мүлкімен операциялар қылмыстық жолмен және (немесе) терроризмді қаржыландыру арқылы (немес</w:t>
      </w:r>
      <w:r>
        <w:rPr>
          <w:lang w:val="kk-KZ"/>
        </w:rPr>
        <w:t>е Қазақстан Республикасының заңнамасына сәйкес қылмыстық жолмен және (немесе) терроризмді қаржыландыру арқылы алынған табыстарды заңдастыруға (жылыстатуға) қарсы әрекет ретінде жіктелген басқа әрекеттер арқылы) алынған табыстарды заңдастыруға (жылыстатуға)</w:t>
      </w:r>
      <w:r>
        <w:rPr>
          <w:lang w:val="kk-KZ"/>
        </w:rPr>
        <w:t xml:space="preserve"> қатысы бар екеніне негіз бар болса, осындай әрекеттер де Акцияның талаптарын теріс пайдалану ретінде саналады.     </w:t>
      </w:r>
    </w:p>
    <w:p w:rsidR="002323EC" w:rsidRPr="00DA4AFB" w:rsidRDefault="00DA4AFB">
      <w:pPr>
        <w:pStyle w:val="40"/>
        <w:shd w:val="clear" w:color="auto" w:fill="auto"/>
        <w:spacing w:before="0"/>
        <w:rPr>
          <w:lang w:val="kk-KZ"/>
        </w:rPr>
      </w:pPr>
      <w:r>
        <w:rPr>
          <w:lang w:val="kk-KZ"/>
        </w:rPr>
        <w:t>Қосымша, осы Талаптардың аясында келесі оқиғаларды  Банк  Акцияның талаптарын теріс пайдалану деп таниды:</w:t>
      </w:r>
    </w:p>
    <w:p w:rsidR="002323EC" w:rsidRPr="00DA4AFB" w:rsidRDefault="00DA4AFB">
      <w:pPr>
        <w:pStyle w:val="40"/>
        <w:shd w:val="clear" w:color="auto" w:fill="auto"/>
        <w:spacing w:before="0" w:after="56"/>
        <w:rPr>
          <w:lang w:val="kk-KZ"/>
        </w:rPr>
      </w:pPr>
      <w:r>
        <w:rPr>
          <w:lang w:val="kk-KZ"/>
        </w:rPr>
        <w:t>- Клиенттің  корпоративтік мұқтаж</w:t>
      </w:r>
      <w:r>
        <w:rPr>
          <w:lang w:val="kk-KZ"/>
        </w:rPr>
        <w:t>дықтарына жеке төлем карточкасымен тауарларды және/немесе қызметтерді күнделікті, кезеңімен сатып алу;</w:t>
      </w:r>
    </w:p>
    <w:p w:rsidR="002323EC" w:rsidRPr="00DA4AFB" w:rsidRDefault="00DA4AFB">
      <w:pPr>
        <w:pStyle w:val="40"/>
        <w:shd w:val="clear" w:color="auto" w:fill="auto"/>
        <w:spacing w:before="0" w:line="230" w:lineRule="exact"/>
        <w:rPr>
          <w:lang w:val="kk-KZ"/>
        </w:rPr>
      </w:pPr>
      <w:r>
        <w:rPr>
          <w:lang w:val="kk-KZ"/>
        </w:rPr>
        <w:t>-  Тауарларды супермаркеттерде,  электроника дүкендерінде және басқа сауда орындарынан оңтайлы, күнделікті, кезеңімен сатып алу;</w:t>
      </w:r>
    </w:p>
    <w:p w:rsidR="002323EC" w:rsidRPr="00DA4AFB" w:rsidRDefault="00DA4AFB">
      <w:pPr>
        <w:pStyle w:val="40"/>
        <w:shd w:val="clear" w:color="auto" w:fill="auto"/>
        <w:spacing w:before="0" w:after="56" w:line="230" w:lineRule="exact"/>
        <w:rPr>
          <w:lang w:val="kk-KZ"/>
        </w:rPr>
      </w:pPr>
      <w:r>
        <w:rPr>
          <w:lang w:val="kk-KZ"/>
        </w:rPr>
        <w:t>- жоғары Бонустар алу ма</w:t>
      </w:r>
      <w:r>
        <w:rPr>
          <w:lang w:val="kk-KZ"/>
        </w:rPr>
        <w:t>қстаныда ритейлге жасырынған Клиенттің төлем карточкалары бойынша аударым операцияларын  орындау;</w:t>
      </w:r>
    </w:p>
    <w:p w:rsidR="002323EC" w:rsidRPr="00DA4AFB" w:rsidRDefault="00DA4AFB">
      <w:pPr>
        <w:pStyle w:val="40"/>
        <w:shd w:val="clear" w:color="auto" w:fill="auto"/>
        <w:spacing w:before="0" w:after="64" w:line="235" w:lineRule="exact"/>
        <w:rPr>
          <w:lang w:val="kk-KZ"/>
        </w:rPr>
      </w:pPr>
      <w:r>
        <w:rPr>
          <w:lang w:val="kk-KZ"/>
        </w:rPr>
        <w:t>-  төлем карточкаларын пайдаланумен  ағымдағы шотта ақшаның қалдығына Бонустар есептеу бойынша шектеулерді аралау үшін өзінің атына Клиенттің көптеген төлем к</w:t>
      </w:r>
      <w:r>
        <w:rPr>
          <w:lang w:val="kk-KZ"/>
        </w:rPr>
        <w:t>арточкаларын ашуы;</w:t>
      </w:r>
    </w:p>
    <w:p w:rsidR="002323EC" w:rsidRPr="00DA4AFB" w:rsidRDefault="00DA4AFB">
      <w:pPr>
        <w:pStyle w:val="40"/>
        <w:shd w:val="clear" w:color="auto" w:fill="auto"/>
        <w:spacing w:before="0" w:line="230" w:lineRule="exact"/>
        <w:rPr>
          <w:lang w:val="kk-KZ"/>
        </w:rPr>
      </w:pPr>
      <w:r>
        <w:rPr>
          <w:lang w:val="kk-KZ"/>
        </w:rPr>
        <w:t xml:space="preserve">-  жеке мұқтаждықтарына емес, оның ішінде әуе және т/ж билеттерін сатып алуға  Клиенттің төлем карточкаларын пайдаланумен бұқаралық, күнделікті, кезеңдік сатып алулар; </w:t>
      </w:r>
    </w:p>
    <w:p w:rsidR="002323EC" w:rsidRPr="00DA4AFB" w:rsidRDefault="00DA4AFB">
      <w:pPr>
        <w:pStyle w:val="40"/>
        <w:shd w:val="clear" w:color="auto" w:fill="auto"/>
        <w:spacing w:before="0" w:line="230" w:lineRule="exact"/>
        <w:rPr>
          <w:lang w:val="kk-KZ"/>
        </w:rPr>
      </w:pPr>
      <w:r>
        <w:rPr>
          <w:lang w:val="kk-KZ"/>
        </w:rPr>
        <w:t xml:space="preserve">- шетелдік  интернет сайттарда жеке мұқтаждықтарына емес  Клиенттің </w:t>
      </w:r>
      <w:r>
        <w:rPr>
          <w:lang w:val="kk-KZ"/>
        </w:rPr>
        <w:t>төлем карточкаларын пайдаланумен тауарларды бұқаралық, күнделікті, кезеңдік сатып алулар;</w:t>
      </w:r>
    </w:p>
    <w:p w:rsidR="002323EC" w:rsidRPr="00DA4AFB" w:rsidRDefault="00DA4AFB">
      <w:pPr>
        <w:pStyle w:val="4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00" w:line="230" w:lineRule="exact"/>
        <w:rPr>
          <w:lang w:val="kk-KZ"/>
        </w:rPr>
      </w:pPr>
      <w:r>
        <w:rPr>
          <w:lang w:val="kk-KZ"/>
        </w:rPr>
        <w:t>- Ойын  интернет сайттарында, виртуалдық интернет ойынханада, букмекерлік кеңселерде, крипто валютаны сату бойынша интернет платформаларда,  Qiwi, PayPal, Web Money в</w:t>
      </w:r>
      <w:r>
        <w:rPr>
          <w:lang w:val="kk-KZ"/>
        </w:rPr>
        <w:t>иртуалық әмияндарын және осыған ұқсастарын толтыру бойынша Клиенттің төлем карточкаларын пайдаланумен күнделікті, кезеңдік сатып алулар;</w:t>
      </w:r>
    </w:p>
    <w:p w:rsidR="002323EC" w:rsidRDefault="00DA4AFB">
      <w:pPr>
        <w:pStyle w:val="4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180" w:lineRule="exact"/>
      </w:pPr>
      <w:r>
        <w:rPr>
          <w:lang w:val="kk-KZ"/>
        </w:rPr>
        <w:t xml:space="preserve">Телефон баланстарын толықтыру. </w:t>
      </w:r>
    </w:p>
    <w:sectPr w:rsidR="002323EC">
      <w:type w:val="continuous"/>
      <w:pgSz w:w="11900" w:h="16840"/>
      <w:pgMar w:top="727" w:right="810" w:bottom="1146" w:left="16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121"/>
    <w:multiLevelType w:val="multilevel"/>
    <w:tmpl w:val="7DCA11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46D8E"/>
    <w:multiLevelType w:val="multilevel"/>
    <w:tmpl w:val="58CABA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13C53"/>
    <w:multiLevelType w:val="multilevel"/>
    <w:tmpl w:val="F75C18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5B05EB"/>
    <w:multiLevelType w:val="multilevel"/>
    <w:tmpl w:val="8A6A754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3F1214"/>
    <w:multiLevelType w:val="multilevel"/>
    <w:tmpl w:val="9E164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B"/>
    <w:rsid w:val="00D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831A"/>
  <w15:docId w15:val="{E5A3A62A-A503-4AC4-8F67-1DC1E65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93" w:lineRule="exact"/>
      <w:ind w:hanging="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before="360" w:line="29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bank.kz/" TargetMode="External"/><Relationship Id="rId5" Type="http://schemas.openxmlformats.org/officeDocument/2006/relationships/hyperlink" Target="https://my.smartban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Туребаев Рустам Еркенович</dc:creator>
  <cp:lastModifiedBy>Тулегенова Гульнар Кошкимбаевна</cp:lastModifiedBy>
  <cp:revision>2</cp:revision>
  <dcterms:created xsi:type="dcterms:W3CDTF">2019-08-27T04:55:00Z</dcterms:created>
  <dcterms:modified xsi:type="dcterms:W3CDTF">2019-08-27T04:55:00Z</dcterms:modified>
</cp:coreProperties>
</file>